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jc w:val="center"/>
        <w:rPr>
          <w:rFonts w:ascii="Calibri" w:hAnsi="Calibri" w:cs="Calibri" w:asciiTheme="minorHAnsi" w:cstheme="minorHAnsi" w:hAnsiTheme="minorHAnsi"/>
          <w:b/>
          <w:bCs/>
          <w:sz w:val="40"/>
          <w:szCs w:val="40"/>
        </w:rPr>
      </w:pPr>
      <w:r>
        <w:rPr>
          <w:rFonts w:cs="Calibri" w:ascii="Calibri" w:hAnsi="Calibri" w:asciiTheme="minorHAnsi" w:cstheme="minorHAnsi" w:hAnsiTheme="minorHAnsi"/>
          <w:b/>
          <w:bCs/>
          <w:sz w:val="40"/>
          <w:szCs w:val="40"/>
        </w:rPr>
        <w:t>Reasonable Adjustments Policy</w:t>
      </w:r>
    </w:p>
    <w:p>
      <w:pPr>
        <w:pStyle w:val="BodyText"/>
        <w:spacing w:before="9" w:after="0"/>
        <w:rPr>
          <w:rFonts w:ascii="Times New Roman" w:hAnsi="Times New Roman"/>
          <w:sz w:val="17"/>
        </w:rPr>
      </w:pPr>
      <w:r>
        <w:rPr>
          <w:rFonts w:ascii="Times New Roman" w:hAnsi="Times New Roman"/>
          <w:sz w:val="17"/>
        </w:rPr>
      </w:r>
    </w:p>
    <w:p>
      <w:pPr>
        <w:pStyle w:val="Heading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Aims and Objectives of the Policy</w:t>
      </w:r>
    </w:p>
    <w:p>
      <w:pPr>
        <w:pStyle w:val="BodyText"/>
        <w:rPr>
          <w:rFonts w:ascii="Calibri" w:hAnsi="Calibri" w:cs="Calibri" w:asciiTheme="minorHAnsi" w:cstheme="minorHAnsi" w:hAnsiTheme="minorHAnsi"/>
          <w:b/>
          <w:sz w:val="24"/>
          <w:szCs w:val="24"/>
        </w:rPr>
      </w:pPr>
      <w:r>
        <w:rPr>
          <w:rFonts w:cs="Calibri" w:cstheme="minorHAnsi" w:ascii="Calibri" w:hAnsi="Calibri"/>
          <w:b/>
          <w:sz w:val="24"/>
          <w:szCs w:val="24"/>
        </w:rPr>
      </w:r>
    </w:p>
    <w:p>
      <w:pPr>
        <w:sectPr>
          <w:headerReference w:type="even" r:id="rId2"/>
          <w:headerReference w:type="default" r:id="rId3"/>
          <w:headerReference w:type="first" r:id="rId4"/>
          <w:type w:val="nextPage"/>
          <w:pgSz w:w="11906" w:h="16838"/>
          <w:pgMar w:left="1300" w:right="740" w:gutter="0" w:header="735" w:top="1040" w:footer="0" w:bottom="280"/>
          <w:pgNumType w:fmt="decimal"/>
          <w:formProt w:val="false"/>
          <w:textDirection w:val="lrTb"/>
          <w:docGrid w:type="default" w:linePitch="600" w:charSpace="36864"/>
        </w:sectPr>
      </w:pPr>
    </w:p>
    <w:p>
      <w:pPr>
        <w:pStyle w:val="BodyText"/>
        <w:spacing w:before="96" w:after="0"/>
        <w:ind w:left="346"/>
        <w:rPr>
          <w:rFonts w:ascii="Calibri" w:hAnsi="Calibri" w:cs="Calibri" w:asciiTheme="minorHAnsi" w:cstheme="minorHAnsi" w:hAnsiTheme="minorHAnsi"/>
          <w:sz w:val="24"/>
          <w:szCs w:val="24"/>
        </w:rPr>
      </w:pPr>
      <w:r>
        <w:rPr>
          <w:rFonts w:cs="Calibri" w:ascii="Calibri" w:hAnsi="Calibri" w:asciiTheme="minorHAnsi" w:cstheme="minorHAnsi" w:hAnsiTheme="minorHAnsi"/>
          <w:color w:val="333333"/>
          <w:sz w:val="24"/>
          <w:szCs w:val="24"/>
          <w:highlight w:val="yellow"/>
        </w:rPr>
        <w:t>Untamed Herbalist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has a duty under the Equality Act 2010 to make any reasonable</w:t>
      </w:r>
    </w:p>
    <w:p>
      <w:pPr>
        <w:pStyle w:val="BodyText"/>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adjustments that can be made for our learners to ensure they are not discriminated against.</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99"/>
        <w:rPr>
          <w:rFonts w:ascii="Calibri" w:hAnsi="Calibri" w:cs="Calibri" w:asciiTheme="minorHAnsi" w:cstheme="minorHAnsi" w:hAnsiTheme="minorHAnsi"/>
          <w:sz w:val="24"/>
          <w:szCs w:val="24"/>
        </w:rPr>
      </w:pPr>
      <w:r>
        <w:rPr>
          <w:rFonts w:cs="Calibri" w:ascii="Calibri" w:hAnsi="Calibri" w:asciiTheme="minorHAnsi" w:cstheme="minorHAnsi" w:hAnsiTheme="minorHAnsi"/>
          <w:spacing w:val="3"/>
          <w:sz w:val="24"/>
          <w:szCs w:val="24"/>
        </w:rPr>
        <w:t xml:space="preserve">We </w:t>
      </w:r>
      <w:r>
        <w:rPr>
          <w:rFonts w:cs="Calibri" w:ascii="Calibri" w:hAnsi="Calibri" w:asciiTheme="minorHAnsi" w:cstheme="minorHAnsi" w:hAnsiTheme="minorHAnsi"/>
          <w:sz w:val="24"/>
          <w:szCs w:val="24"/>
        </w:rPr>
        <w:t>aim to facilitate open and fair access to our training for learners who are eligible for reasonable</w:t>
      </w:r>
      <w:r>
        <w:rPr>
          <w:rFonts w:cs="Calibri" w:ascii="Calibri" w:hAnsi="Calibri" w:asciiTheme="minorHAnsi" w:cstheme="minorHAnsi" w:hAnsiTheme="minorHAnsi"/>
          <w:spacing w:val="48"/>
          <w:sz w:val="24"/>
          <w:szCs w:val="24"/>
        </w:rPr>
        <w:t xml:space="preserve"> </w:t>
      </w:r>
      <w:r>
        <w:rPr>
          <w:rFonts w:cs="Calibri" w:ascii="Calibri" w:hAnsi="Calibri" w:asciiTheme="minorHAnsi" w:cstheme="minorHAnsi" w:hAnsiTheme="minorHAnsi"/>
          <w:sz w:val="24"/>
          <w:szCs w:val="24"/>
        </w:rPr>
        <w:t>adjustments</w:t>
      </w:r>
      <w:r>
        <w:rPr>
          <w:rFonts w:cs="Calibri" w:ascii="Calibri" w:hAnsi="Calibri" w:asciiTheme="minorHAnsi" w:cstheme="minorHAnsi" w:hAnsiTheme="minorHAnsi"/>
          <w:spacing w:val="48"/>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47"/>
          <w:sz w:val="24"/>
          <w:szCs w:val="24"/>
        </w:rPr>
        <w:t xml:space="preserve"> </w:t>
      </w:r>
      <w:r>
        <w:rPr>
          <w:rFonts w:cs="Calibri" w:ascii="Calibri" w:hAnsi="Calibri" w:asciiTheme="minorHAnsi" w:cstheme="minorHAnsi" w:hAnsiTheme="minorHAnsi"/>
          <w:sz w:val="24"/>
          <w:szCs w:val="24"/>
        </w:rPr>
        <w:t>/</w:t>
      </w:r>
      <w:r>
        <w:rPr>
          <w:rFonts w:cs="Calibri" w:ascii="Calibri" w:hAnsi="Calibri" w:asciiTheme="minorHAnsi" w:cstheme="minorHAnsi" w:hAnsiTheme="minorHAnsi"/>
          <w:spacing w:val="48"/>
          <w:sz w:val="24"/>
          <w:szCs w:val="24"/>
        </w:rPr>
        <w:t xml:space="preserve"> </w:t>
      </w:r>
      <w:r>
        <w:rPr>
          <w:rFonts w:cs="Calibri" w:ascii="Calibri" w:hAnsi="Calibri" w:asciiTheme="minorHAnsi" w:cstheme="minorHAnsi" w:hAnsiTheme="minorHAnsi"/>
          <w:sz w:val="24"/>
          <w:szCs w:val="24"/>
        </w:rPr>
        <w:t>or</w:t>
      </w:r>
      <w:r>
        <w:rPr>
          <w:rFonts w:cs="Calibri" w:ascii="Calibri" w:hAnsi="Calibri" w:asciiTheme="minorHAnsi" w:cstheme="minorHAnsi" w:hAnsiTheme="minorHAnsi"/>
          <w:spacing w:val="46"/>
          <w:sz w:val="24"/>
          <w:szCs w:val="24"/>
        </w:rPr>
        <w:t xml:space="preserve"> </w:t>
      </w:r>
      <w:r>
        <w:rPr>
          <w:rFonts w:cs="Calibri" w:ascii="Calibri" w:hAnsi="Calibri" w:asciiTheme="minorHAnsi" w:cstheme="minorHAnsi" w:hAnsiTheme="minorHAnsi"/>
          <w:sz w:val="24"/>
          <w:szCs w:val="24"/>
        </w:rPr>
        <w:t>special</w:t>
      </w:r>
      <w:r>
        <w:rPr>
          <w:rFonts w:cs="Calibri" w:ascii="Calibri" w:hAnsi="Calibri" w:asciiTheme="minorHAnsi" w:cstheme="minorHAnsi" w:hAnsiTheme="minorHAnsi"/>
          <w:spacing w:val="46"/>
          <w:sz w:val="24"/>
          <w:szCs w:val="24"/>
        </w:rPr>
        <w:t xml:space="preserve"> </w:t>
      </w:r>
      <w:r>
        <w:rPr>
          <w:rFonts w:cs="Calibri" w:ascii="Calibri" w:hAnsi="Calibri" w:asciiTheme="minorHAnsi" w:cstheme="minorHAnsi" w:hAnsiTheme="minorHAnsi"/>
          <w:sz w:val="24"/>
          <w:szCs w:val="24"/>
        </w:rPr>
        <w:t>considerations</w:t>
      </w:r>
      <w:r>
        <w:rPr>
          <w:rFonts w:cs="Calibri" w:ascii="Calibri" w:hAnsi="Calibri" w:asciiTheme="minorHAnsi" w:cstheme="minorHAnsi" w:hAnsiTheme="minorHAnsi"/>
          <w:spacing w:val="45"/>
          <w:sz w:val="24"/>
          <w:szCs w:val="24"/>
        </w:rPr>
        <w:t xml:space="preserve"> </w:t>
      </w:r>
      <w:r>
        <w:rPr>
          <w:rFonts w:cs="Calibri" w:ascii="Calibri" w:hAnsi="Calibri" w:asciiTheme="minorHAnsi" w:cstheme="minorHAnsi" w:hAnsiTheme="minorHAnsi"/>
          <w:sz w:val="24"/>
          <w:szCs w:val="24"/>
        </w:rPr>
        <w:t>without</w:t>
      </w:r>
      <w:r>
        <w:rPr>
          <w:rFonts w:cs="Calibri" w:ascii="Calibri" w:hAnsi="Calibri" w:asciiTheme="minorHAnsi" w:cstheme="minorHAnsi" w:hAnsiTheme="minorHAnsi"/>
          <w:spacing w:val="46"/>
          <w:sz w:val="24"/>
          <w:szCs w:val="24"/>
        </w:rPr>
        <w:t xml:space="preserve"> </w:t>
      </w:r>
      <w:r>
        <w:rPr>
          <w:rFonts w:cs="Calibri" w:ascii="Calibri" w:hAnsi="Calibri" w:asciiTheme="minorHAnsi" w:cstheme="minorHAnsi" w:hAnsiTheme="minorHAnsi"/>
          <w:sz w:val="24"/>
          <w:szCs w:val="24"/>
        </w:rPr>
        <w:t>compromising</w:t>
      </w:r>
      <w:r>
        <w:rPr>
          <w:rFonts w:cs="Calibri" w:ascii="Calibri" w:hAnsi="Calibri" w:asciiTheme="minorHAnsi" w:cstheme="minorHAnsi" w:hAnsiTheme="minorHAnsi"/>
          <w:spacing w:val="46"/>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45"/>
          <w:sz w:val="24"/>
          <w:szCs w:val="24"/>
        </w:rPr>
        <w:t xml:space="preserve"> </w:t>
      </w:r>
      <w:r>
        <w:rPr>
          <w:rFonts w:cs="Calibri" w:ascii="Calibri" w:hAnsi="Calibri" w:asciiTheme="minorHAnsi" w:cstheme="minorHAnsi" w:hAnsiTheme="minorHAnsi"/>
          <w:sz w:val="24"/>
          <w:szCs w:val="24"/>
        </w:rPr>
        <w:t xml:space="preserve">assessment of skills, knowledge, understanding or competence being measured , </w:t>
      </w:r>
      <w:r>
        <w:rPr>
          <w:rFonts w:cs="Calibri" w:ascii="Calibri" w:hAnsi="Calibri" w:asciiTheme="minorHAnsi" w:cstheme="minorHAnsi" w:hAnsiTheme="minorHAnsi"/>
          <w:color w:val="333333"/>
          <w:sz w:val="24"/>
          <w:szCs w:val="24"/>
          <w:highlight w:val="yellow"/>
        </w:rPr>
        <w:t>Untamed Herbalist University</w:t>
      </w:r>
      <w:r>
        <w:rPr>
          <w:rFonts w:cs="Calibri" w:ascii="Calibri" w:hAnsi="Calibri" w:asciiTheme="minorHAnsi" w:cstheme="minorHAnsi" w:hAnsiTheme="minorHAnsi"/>
          <w:sz w:val="24"/>
          <w:szCs w:val="24"/>
        </w:rPr>
        <w:t xml:space="preserve"> achieve this through;</w:t>
      </w:r>
    </w:p>
    <w:p>
      <w:pPr>
        <w:sectPr>
          <w:type w:val="continuous"/>
          <w:pgSz w:w="11906" w:h="16838"/>
          <w:pgMar w:left="1300" w:right="740" w:gutter="0" w:header="735" w:top="1040" w:footer="0" w:bottom="280"/>
          <w:formProt w:val="false"/>
          <w:textDirection w:val="lrTb"/>
          <w:docGrid w:type="default" w:linePitch="600" w:charSpace="36864"/>
        </w:sectPr>
      </w:pPr>
    </w:p>
    <w:p>
      <w:pPr>
        <w:pStyle w:val="Normal"/>
        <w:rPr/>
      </w:pPr>
      <w:r>
        <w:rPr/>
        <w:t>;</w:t>
      </w:r>
    </w:p>
    <w:p>
      <w:pPr>
        <w:pStyle w:val="Normal"/>
        <w:rPr/>
      </w:pPr>
      <w:r>
        <w:rPr/>
      </w:r>
    </w:p>
    <w:p>
      <w:pPr>
        <w:pStyle w:val="Heading2"/>
        <w:rPr>
          <w:rFonts w:ascii="Calibri" w:hAnsi="Calibri" w:cs="Calibri" w:asciiTheme="minorHAnsi" w:cstheme="minorHAnsi" w:hAnsiTheme="minorHAnsi"/>
          <w:i w:val="false"/>
          <w:i w:val="false"/>
          <w:iCs/>
          <w:sz w:val="24"/>
          <w:szCs w:val="24"/>
        </w:rPr>
      </w:pPr>
      <w:r>
        <w:rPr>
          <w:rFonts w:cs="Calibri" w:ascii="Calibri" w:hAnsi="Calibri" w:asciiTheme="minorHAnsi" w:cstheme="minorHAnsi" w:hAnsiTheme="minorHAnsi"/>
          <w:i w:val="false"/>
          <w:iCs/>
          <w:sz w:val="24"/>
          <w:szCs w:val="24"/>
        </w:rPr>
        <w:t>Reasonable Adjustments</w:t>
      </w:r>
    </w:p>
    <w:p>
      <w:pPr>
        <w:pStyle w:val="BodyText"/>
        <w:spacing w:before="94" w:after="0"/>
        <w:ind w:left="327"/>
        <w:rPr>
          <w:rFonts w:ascii="Calibri" w:hAnsi="Calibri" w:cs="Calibri" w:asciiTheme="minorHAnsi" w:cstheme="minorHAnsi" w:hAnsiTheme="minorHAnsi"/>
          <w:sz w:val="24"/>
          <w:szCs w:val="24"/>
        </w:rPr>
      </w:pPr>
      <w:r>
        <w:rPr>
          <w:rFonts w:cs="Calibri" w:ascii="Calibri" w:hAnsi="Calibri" w:asciiTheme="minorHAnsi" w:cstheme="minorHAnsi" w:hAnsiTheme="minorHAnsi"/>
          <w:color w:val="333333"/>
          <w:sz w:val="24"/>
          <w:szCs w:val="24"/>
          <w:highlight w:val="yellow"/>
        </w:rPr>
        <w:t>Untamed Herbalist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consider requests for Reasonable Adjustments and Special Considerations.</w:t>
      </w:r>
    </w:p>
    <w:p>
      <w:pPr>
        <w:pStyle w:val="BodyText"/>
        <w:spacing w:before="5"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240" w:before="94" w:after="0"/>
        <w:ind w:left="546" w:right="99"/>
        <w:rPr>
          <w:rFonts w:ascii="Calibri" w:hAnsi="Calibri" w:cs="Calibri" w:asciiTheme="minorHAnsi" w:cstheme="minorHAnsi" w:hAnsiTheme="minorHAnsi"/>
          <w:iCs/>
          <w:sz w:val="24"/>
          <w:szCs w:val="24"/>
        </w:rPr>
      </w:pPr>
      <w:r>
        <w:rPr>
          <w:rFonts w:cs="Calibri" w:ascii="Calibri" w:hAnsi="Calibri" w:asciiTheme="minorHAnsi" w:cstheme="minorHAnsi" w:hAnsiTheme="minorHAnsi"/>
          <w:iCs/>
          <w:sz w:val="24"/>
          <w:szCs w:val="24"/>
        </w:rPr>
        <w:t>This is agreed at point of booking/registration. The learner must request within a reasonable timeframe any adjustments that may be needed to reduce the effect of a disability or difficulty, which places the learner at a substantial disadvantage. Any requests for reasonable adjustments must not affect the quality and reliability of the learning outcomes nor must they give the learner an advantage over other learners undertaking the same or similar training.</w:t>
      </w:r>
    </w:p>
    <w:p>
      <w:pPr>
        <w:pStyle w:val="Normal"/>
        <w:ind w:left="546" w:right="99"/>
        <w:rPr>
          <w:rFonts w:ascii="Calibri" w:hAnsi="Calibri" w:cs="Calibri" w:asciiTheme="minorHAnsi" w:cstheme="minorHAnsi" w:hAnsiTheme="minorHAnsi"/>
          <w:iCs/>
          <w:sz w:val="24"/>
          <w:szCs w:val="24"/>
        </w:rPr>
      </w:pPr>
      <w:r>
        <w:rPr>
          <w:rFonts w:cs="Calibri" w:ascii="Calibri" w:hAnsi="Calibri" w:asciiTheme="minorHAnsi" w:cstheme="minorHAnsi" w:hAnsiTheme="minorHAnsi"/>
          <w:iCs/>
          <w:sz w:val="24"/>
          <w:szCs w:val="24"/>
        </w:rPr>
        <w:t>Reasonable Adjustments may not be applied to training that will provide a “licence to practice” or where the learner needs to demonstrate a practical competence.</w:t>
      </w:r>
    </w:p>
    <w:p>
      <w:pPr>
        <w:pStyle w:val="BodyText"/>
        <w:spacing w:before="8" w:after="0"/>
        <w:rPr>
          <w:rFonts w:ascii="Calibri" w:hAnsi="Calibri" w:cs="Calibri" w:asciiTheme="minorHAnsi" w:cstheme="minorHAnsi" w:hAnsiTheme="minorHAnsi"/>
          <w:i/>
          <w:i/>
          <w:sz w:val="24"/>
          <w:szCs w:val="24"/>
        </w:rPr>
      </w:pPr>
      <w:r>
        <w:rPr>
          <w:rFonts w:cs="Calibri" w:cstheme="minorHAnsi" w:ascii="Calibri" w:hAnsi="Calibri"/>
          <w:i/>
          <w:sz w:val="24"/>
          <w:szCs w:val="24"/>
        </w:rPr>
      </w:r>
    </w:p>
    <w:p>
      <w:pPr>
        <w:pStyle w:val="Heading2"/>
        <w:spacing w:before="1" w:after="0"/>
        <w:rPr>
          <w:rFonts w:ascii="Calibri" w:hAnsi="Calibri" w:cs="Calibri" w:asciiTheme="minorHAnsi" w:cstheme="minorHAnsi" w:hAnsiTheme="minorHAnsi"/>
          <w:i w:val="false"/>
          <w:i w:val="false"/>
          <w:iCs/>
          <w:sz w:val="24"/>
          <w:szCs w:val="24"/>
        </w:rPr>
      </w:pPr>
      <w:r>
        <w:rPr>
          <w:rFonts w:cs="Calibri" w:ascii="Calibri" w:hAnsi="Calibri" w:asciiTheme="minorHAnsi" w:cstheme="minorHAnsi" w:hAnsiTheme="minorHAnsi"/>
          <w:i w:val="false"/>
          <w:iCs/>
          <w:sz w:val="24"/>
          <w:szCs w:val="24"/>
        </w:rPr>
        <w:t>Special Considerations</w:t>
      </w:r>
    </w:p>
    <w:p>
      <w:pPr>
        <w:pStyle w:val="Normal"/>
        <w:ind w:left="546" w:right="123"/>
        <w:rPr>
          <w:rFonts w:ascii="Calibri" w:hAnsi="Calibri" w:cs="Calibri" w:asciiTheme="minorHAnsi" w:cstheme="minorHAnsi" w:hAnsiTheme="minorHAnsi"/>
          <w:iCs/>
          <w:sz w:val="24"/>
          <w:szCs w:val="24"/>
        </w:rPr>
      </w:pPr>
      <w:r>
        <w:rPr>
          <w:rFonts w:cs="Calibri" w:ascii="Calibri" w:hAnsi="Calibri" w:asciiTheme="minorHAnsi" w:cstheme="minorHAnsi" w:hAnsiTheme="minorHAnsi"/>
          <w:iCs/>
          <w:sz w:val="24"/>
          <w:szCs w:val="24"/>
        </w:rPr>
        <w:t>A special consideration request can be made during or after a training event to reflect temporary illness, injury or indisposition that occurred at the time of the event. Any special considerations granted cannot remove the difficulty the learner faced at the time of the event and can only be a relatively small adjustment to ensure that the integrity of the training is not compromised. Special consideration may not be applied to training that will provide a “licence to practice” or where the learner needs to demonstrate a practical competence.</w:t>
      </w:r>
    </w:p>
    <w:p>
      <w:pPr>
        <w:pStyle w:val="BodyText"/>
        <w:rPr>
          <w:rFonts w:ascii="Calibri" w:hAnsi="Calibri" w:cs="Calibri" w:asciiTheme="minorHAnsi" w:cstheme="minorHAnsi" w:hAnsiTheme="minorHAnsi"/>
          <w:i/>
          <w:i/>
          <w:sz w:val="24"/>
          <w:szCs w:val="24"/>
        </w:rPr>
      </w:pPr>
      <w:r>
        <w:rPr>
          <w:rFonts w:cs="Calibri" w:cstheme="minorHAnsi" w:ascii="Calibri" w:hAnsi="Calibri"/>
          <w:i/>
          <w:sz w:val="24"/>
          <w:szCs w:val="24"/>
        </w:rPr>
      </w:r>
    </w:p>
    <w:p>
      <w:pPr>
        <w:sectPr>
          <w:type w:val="continuous"/>
          <w:pgSz w:w="11906" w:h="16838"/>
          <w:pgMar w:left="1300" w:right="740" w:gutter="0" w:header="735" w:top="1040" w:footer="0" w:bottom="280"/>
          <w:formProt w:val="false"/>
          <w:textDirection w:val="lrTb"/>
          <w:docGrid w:type="default" w:linePitch="600" w:charSpace="36864"/>
        </w:sectPr>
      </w:pPr>
    </w:p>
    <w:p>
      <w:pPr>
        <w:pStyle w:val="BodyText"/>
        <w:spacing w:before="94"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highlight w:val="yellow"/>
        </w:rPr>
        <w:t xml:space="preserve">  </w:t>
      </w:r>
      <w:r>
        <w:rPr>
          <w:rFonts w:cs="Calibri" w:ascii="Calibri" w:hAnsi="Calibri" w:asciiTheme="minorHAnsi" w:cstheme="minorHAnsi" w:hAnsiTheme="minorHAnsi"/>
          <w:color w:val="333333"/>
          <w:sz w:val="24"/>
          <w:szCs w:val="24"/>
          <w:highlight w:val="yellow"/>
        </w:rPr>
        <w:t>Untamed Herbalist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only consider requests for Reasonable Adjustments and Special</w:t>
      </w:r>
    </w:p>
    <w:p>
      <w:pPr>
        <w:pStyle w:val="BodyText"/>
        <w:spacing w:before="1" w:after="0"/>
        <w:ind w:left="118" w:right="42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Considerations submitted within a timely manner and have completed the appropriate paperwork for these requests.</w:t>
      </w:r>
    </w:p>
    <w:p>
      <w:pPr>
        <w:pStyle w:val="BodyText"/>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spacing w:before="0"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Reasonable Adjustments</w:t>
      </w:r>
    </w:p>
    <w:p>
      <w:pPr>
        <w:pStyle w:val="BodyText"/>
        <w:ind w:left="118" w:right="9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reasonable adjustment helps to reduce the effect of a disability or a difficulty that places the learner at a substantial disadvantage.</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12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Reasonable adjustments must not affect the quality and reliability of the learning outcomes, but may include;</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1"/>
        </w:numPr>
        <w:tabs>
          <w:tab w:val="clear" w:pos="720"/>
          <w:tab w:val="left" w:pos="838" w:leader="none"/>
          <w:tab w:val="left" w:pos="839" w:leader="none"/>
        </w:tabs>
        <w:spacing w:lineRule="auto" w:line="240"/>
        <w:ind w:hanging="360" w:left="838" w:right="37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Ensuring any online learning is more accessible (such as ability to adjust display settings and providing advice/guidance on speech</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technology)</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Providing assistance during an assessment of</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learning</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Adapting materials or providing it on coloured</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paper</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Re-organising the physical assessment/learning</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environment</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Use of mechanical and electronic</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aids</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Use of assistive software</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Use of low vision</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aids</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British Sign</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Language</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Reasonable adjustments must be approved and set in place prior to any assessment or learning is carried out.</w:t>
      </w:r>
    </w:p>
    <w:p>
      <w:pPr>
        <w:sectPr>
          <w:type w:val="continuous"/>
          <w:pgSz w:w="11906" w:h="16838"/>
          <w:pgMar w:left="1300" w:right="740" w:gutter="0" w:header="735" w:top="1040" w:footer="0" w:bottom="280"/>
          <w:formProt w:val="false"/>
          <w:textDirection w:val="lrTb"/>
          <w:docGrid w:type="default" w:linePitch="600" w:charSpace="36864"/>
        </w:sectPr>
      </w:pPr>
    </w:p>
    <w:p>
      <w:pPr>
        <w:pStyle w:val="Normal"/>
        <w:spacing w:lineRule="exact" w:line="228"/>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94" w:after="0"/>
        <w:ind w:left="118" w:right="6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Any assessment of work following a reasonable adjustment has been made must be carried out in the same way of work from other learners.</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6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Reasonable adjustments must never give a learner and advantage to other learners and must never affect the quality or reliability of the learning.</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236"/>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It is important to note that not all requests for reasonable adjustments may be granted if they are not deemed reasonable, permissible or practical in certain situations. The learner may not need, nor be allowed, the same adjustments for all learning.</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94" w:after="0"/>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Requests for reasonable adjustments are approved by </w:t>
      </w:r>
      <w:r>
        <w:rPr>
          <w:rFonts w:cs="Calibri" w:ascii="Calibri" w:hAnsi="Calibri" w:asciiTheme="minorHAnsi" w:cstheme="minorHAnsi" w:hAnsiTheme="minorHAnsi"/>
          <w:color w:val="333333"/>
          <w:sz w:val="24"/>
          <w:szCs w:val="24"/>
          <w:highlight w:val="yellow"/>
        </w:rPr>
        <w:t>Untamed Herbalist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prior to any</w:t>
      </w:r>
    </w:p>
    <w:p>
      <w:pPr>
        <w:pStyle w:val="BodyText"/>
        <w:spacing w:before="1" w:after="0"/>
        <w:ind w:left="118" w:right="6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bookings/registrations are taken. They are intended to allow access to training / assessment but can only be approved if the adjustment does not;</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1"/>
        </w:numPr>
        <w:tabs>
          <w:tab w:val="clear" w:pos="720"/>
          <w:tab w:val="left" w:pos="838" w:leader="none"/>
          <w:tab w:val="left" w:pos="839" w:leader="none"/>
        </w:tabs>
        <w:spacing w:lineRule="auto" w:line="2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Affect the quality and reliability of the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learning</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an unfair advantage to other</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learners</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Influence or compromise the final outcome of the assessment of</w:t>
      </w:r>
      <w:r>
        <w:rPr>
          <w:rFonts w:cs="Calibri" w:ascii="Calibri" w:hAnsi="Calibri" w:asciiTheme="minorHAnsi" w:cstheme="minorHAnsi" w:hAnsiTheme="minorHAnsi"/>
          <w:spacing w:val="25"/>
          <w:sz w:val="24"/>
          <w:szCs w:val="24"/>
        </w:rPr>
        <w:t xml:space="preserve"> </w:t>
      </w:r>
      <w:r>
        <w:rPr>
          <w:rFonts w:cs="Calibri" w:ascii="Calibri" w:hAnsi="Calibri" w:asciiTheme="minorHAnsi" w:cstheme="minorHAnsi" w:hAnsiTheme="minorHAnsi"/>
          <w:sz w:val="24"/>
          <w:szCs w:val="24"/>
        </w:rPr>
        <w:t>learning</w:t>
      </w:r>
    </w:p>
    <w:p>
      <w:pPr>
        <w:pStyle w:val="BodyText"/>
        <w:spacing w:before="1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94" w:after="0"/>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Any requests for reasonable adjustments must be made to </w:t>
      </w:r>
      <w:r>
        <w:rPr>
          <w:rFonts w:cs="Calibri" w:ascii="Calibri" w:hAnsi="Calibri" w:asciiTheme="minorHAnsi" w:cstheme="minorHAnsi" w:hAnsiTheme="minorHAnsi"/>
          <w:color w:val="333333"/>
          <w:sz w:val="24"/>
          <w:szCs w:val="24"/>
          <w:highlight w:val="yellow"/>
        </w:rPr>
        <w:t>Untamed Herbalist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 xml:space="preserve">within 7 days of registration / booking or at least 28 working days before an assessment / classroom event using the appropriate paperwork.  If you are unsure if a learner requires a reasonable adjustment, please speak with </w:t>
      </w:r>
      <w:r>
        <w:rPr>
          <w:rFonts w:cs="Calibri" w:ascii="Calibri" w:hAnsi="Calibri" w:asciiTheme="minorHAnsi" w:cstheme="minorHAnsi" w:hAnsiTheme="minorHAnsi"/>
          <w:color w:val="333333"/>
          <w:sz w:val="24"/>
          <w:szCs w:val="24"/>
          <w:highlight w:val="yellow"/>
        </w:rPr>
        <w:t>Untamed Herbalist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who will provide the relevant guidance.</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ind w:left="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Special Considerations</w:t>
      </w:r>
    </w:p>
    <w:p>
      <w:pPr>
        <w:pStyle w:val="BodyText"/>
        <w:ind w:left="118" w:right="6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special consideration is consideration given to a learner who was prepared and present at an assessment but may have been disadvantaged by temporary illness, injury or adverse circumstances outside of their control.</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6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It is important to note that special consideration may not be possible where assessment requires the demonstration of practical competence, or the training provides a “licence to practice”.</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6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an assessment of learning is carried out and marked by a computer, the learner will have the ability to take it at a later date however this must be completed prior to any practical assessments or other learning is carried out.</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246"/>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 special consideration cannot give a learner an unfair advantage to other learners and must not mislead the learners’ achievement. The learner’s results must reflect their true achievement and not potential ability. </w:t>
      </w:r>
      <w:r>
        <w:rPr>
          <w:rFonts w:cs="Calibri" w:ascii="Calibri" w:hAnsi="Calibri" w:asciiTheme="minorHAnsi" w:cstheme="minorHAnsi" w:hAnsiTheme="minorHAnsi"/>
          <w:color w:val="333333"/>
          <w:sz w:val="24"/>
          <w:szCs w:val="24"/>
          <w:shd w:fill="FFFF00" w:val="clear"/>
        </w:rPr>
        <w:t>Untamed Herbalist University</w:t>
      </w:r>
      <w:r>
        <w:rPr>
          <w:rFonts w:cs="Calibri" w:ascii="Calibri" w:hAnsi="Calibri" w:asciiTheme="minorHAnsi" w:cstheme="minorHAnsi" w:hAnsiTheme="minorHAnsi"/>
          <w:sz w:val="24"/>
          <w:szCs w:val="24"/>
          <w:shd w:fill="FFFF00" w:val="clear"/>
        </w:rPr>
        <w:t>’s</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decision on requests for special considerations will vary from learner to learner and one subject to another. The factors may include the severity of the consideration, date of assessment and the nature of the assessment such as practical or oral presentation.</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learner may be eligible for special considerations if;</w:t>
      </w:r>
    </w:p>
    <w:p>
      <w:pPr>
        <w:pStyle w:val="BodyText"/>
        <w:spacing w:before="1"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1"/>
        </w:numPr>
        <w:tabs>
          <w:tab w:val="clear" w:pos="720"/>
          <w:tab w:val="left" w:pos="838" w:leader="none"/>
          <w:tab w:val="left" w:pos="839" w:leader="none"/>
        </w:tabs>
        <w:spacing w:lineRule="auto" w:line="240" w:before="1" w:after="0"/>
        <w:ind w:hanging="360" w:left="838" w:right="21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performance in an assessment is affected by circumstances out of their control, such as recent personal illness, accident or</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bereavement</w:t>
      </w:r>
    </w:p>
    <w:p>
      <w:pPr>
        <w:pStyle w:val="ListParagraph"/>
        <w:numPr>
          <w:ilvl w:val="0"/>
          <w:numId w:val="1"/>
        </w:numPr>
        <w:tabs>
          <w:tab w:val="clear" w:pos="720"/>
          <w:tab w:val="left" w:pos="838" w:leader="none"/>
          <w:tab w:val="left" w:pos="839" w:leader="none"/>
        </w:tabs>
        <w:spacing w:lineRule="auto" w:line="240" w:before="1" w:after="0"/>
        <w:ind w:hanging="360" w:left="838" w:right="54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Alternative arrangements which were agreed in advance proved to be inappropriate or inadequate</w:t>
      </w:r>
    </w:p>
    <w:p>
      <w:pPr>
        <w:pStyle w:val="ListParagraph"/>
        <w:numPr>
          <w:ilvl w:val="0"/>
          <w:numId w:val="1"/>
        </w:numPr>
        <w:tabs>
          <w:tab w:val="clear" w:pos="720"/>
          <w:tab w:val="left" w:pos="838" w:leader="none"/>
          <w:tab w:val="left" w:pos="839" w:leader="none"/>
        </w:tabs>
        <w:spacing w:lineRule="auto" w:line="240" w:before="1" w:after="0"/>
        <w:ind w:hanging="360" w:left="838" w:right="15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Part of an assessment / event was missed due to circumstances beyond the control of the learner</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94" w:after="0"/>
        <w:ind w:left="3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learner will not be eligible for special consideration if;</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leaner has not been affected at the time of an assessment by a particular</w:t>
      </w:r>
      <w:r>
        <w:rPr>
          <w:rFonts w:cs="Calibri" w:ascii="Calibri" w:hAnsi="Calibri" w:asciiTheme="minorHAnsi" w:cstheme="minorHAnsi" w:hAnsiTheme="minorHAnsi"/>
          <w:spacing w:val="21"/>
          <w:sz w:val="24"/>
          <w:szCs w:val="24"/>
        </w:rPr>
        <w:t xml:space="preserve"> </w:t>
      </w:r>
      <w:r>
        <w:rPr>
          <w:rFonts w:cs="Calibri" w:ascii="Calibri" w:hAnsi="Calibri" w:asciiTheme="minorHAnsi" w:cstheme="minorHAnsi" w:hAnsiTheme="minorHAnsi"/>
          <w:sz w:val="24"/>
          <w:szCs w:val="24"/>
        </w:rPr>
        <w:t>condition</w:t>
      </w:r>
    </w:p>
    <w:p>
      <w:pPr>
        <w:pStyle w:val="ListParagraph"/>
        <w:numPr>
          <w:ilvl w:val="1"/>
          <w:numId w:val="1"/>
        </w:numPr>
        <w:tabs>
          <w:tab w:val="clear" w:pos="720"/>
          <w:tab w:val="left" w:pos="1038" w:leader="none"/>
          <w:tab w:val="left" w:pos="1039" w:leader="none"/>
        </w:tabs>
        <w:spacing w:lineRule="auto" w:line="240"/>
        <w:ind w:hanging="360" w:left="1038" w:right="28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Part of an assessment / event is missed due to personal arrangements including holidays or unauthorised absence</w:t>
      </w:r>
    </w:p>
    <w:p>
      <w:pPr>
        <w:pStyle w:val="ListParagraph"/>
        <w:numPr>
          <w:ilvl w:val="1"/>
          <w:numId w:val="1"/>
        </w:numPr>
        <w:tabs>
          <w:tab w:val="clear" w:pos="720"/>
          <w:tab w:val="left" w:pos="1038" w:leader="none"/>
          <w:tab w:val="left" w:pos="1039" w:leader="none"/>
        </w:tabs>
        <w:spacing w:lineRule="auto" w:line="240" w:before="2" w:after="0"/>
        <w:ind w:hanging="360" w:left="1038" w:right="49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event / assessment is affected by difficulties such as disturbances through building work, lack of proper facilities, changes in or shortages of staff or industrial</w:t>
      </w:r>
      <w:r>
        <w:rPr>
          <w:rFonts w:cs="Calibri" w:ascii="Calibri" w:hAnsi="Calibri" w:asciiTheme="minorHAnsi" w:cstheme="minorHAnsi" w:hAnsiTheme="minorHAnsi"/>
          <w:spacing w:val="30"/>
          <w:sz w:val="24"/>
          <w:szCs w:val="24"/>
        </w:rPr>
        <w:t xml:space="preserve"> </w:t>
      </w:r>
      <w:r>
        <w:rPr>
          <w:rFonts w:cs="Calibri" w:ascii="Calibri" w:hAnsi="Calibri" w:asciiTheme="minorHAnsi" w:cstheme="minorHAnsi" w:hAnsiTheme="minorHAnsi"/>
          <w:sz w:val="24"/>
          <w:szCs w:val="24"/>
        </w:rPr>
        <w:t>disputes</w:t>
      </w:r>
    </w:p>
    <w:p>
      <w:pPr>
        <w:pStyle w:val="BodyText"/>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3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Examples of circumstances where special consideration may be given are;</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Terminal illness of the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learner</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Recent bereavement of a member of the immediate</w:t>
      </w:r>
      <w:r>
        <w:rPr>
          <w:rFonts w:cs="Calibri" w:ascii="Calibri" w:hAnsi="Calibri" w:asciiTheme="minorHAnsi" w:cstheme="minorHAnsi" w:hAnsiTheme="minorHAnsi"/>
          <w:spacing w:val="18"/>
          <w:sz w:val="24"/>
          <w:szCs w:val="24"/>
        </w:rPr>
        <w:t xml:space="preserve"> </w:t>
      </w:r>
      <w:r>
        <w:rPr>
          <w:rFonts w:cs="Calibri" w:ascii="Calibri" w:hAnsi="Calibri" w:asciiTheme="minorHAnsi" w:cstheme="minorHAnsi" w:hAnsiTheme="minorHAnsi"/>
          <w:sz w:val="24"/>
          <w:szCs w:val="24"/>
        </w:rPr>
        <w:t>family</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Serious of disruptive domestic crises leading to acute anxiety about the</w:t>
      </w:r>
      <w:r>
        <w:rPr>
          <w:rFonts w:cs="Calibri" w:ascii="Calibri" w:hAnsi="Calibri" w:asciiTheme="minorHAnsi" w:cstheme="minorHAnsi" w:hAnsiTheme="minorHAnsi"/>
          <w:spacing w:val="8"/>
          <w:sz w:val="24"/>
          <w:szCs w:val="24"/>
        </w:rPr>
        <w:t xml:space="preserve"> </w:t>
      </w:r>
      <w:r>
        <w:rPr>
          <w:rFonts w:cs="Calibri" w:ascii="Calibri" w:hAnsi="Calibri" w:asciiTheme="minorHAnsi" w:cstheme="minorHAnsi" w:hAnsiTheme="minorHAnsi"/>
          <w:sz w:val="24"/>
          <w:szCs w:val="24"/>
        </w:rPr>
        <w:t>family</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Incapacitating illness or injury of the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learner</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Severe car accident</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Outbreak of infection where learners are in</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isolation</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Lost or damaged work beyond the control of the</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learner</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ind w:left="318"/>
        <w:rPr>
          <w:rFonts w:ascii="Calibri" w:hAnsi="Calibri" w:cs="Calibri" w:asciiTheme="minorHAnsi" w:cstheme="minorHAnsi" w:hAnsiTheme="minorHAnsi"/>
          <w:iCs/>
          <w:sz w:val="24"/>
          <w:szCs w:val="24"/>
        </w:rPr>
      </w:pPr>
      <w:r>
        <w:rPr>
          <w:rFonts w:cs="Calibri" w:ascii="Calibri" w:hAnsi="Calibri" w:asciiTheme="minorHAnsi" w:cstheme="minorHAnsi" w:hAnsiTheme="minorHAnsi"/>
          <w:iCs/>
          <w:sz w:val="24"/>
          <w:szCs w:val="24"/>
        </w:rPr>
        <w:t>Special consideration will not be granted for minor illness or a minor disturbance.</w:t>
      </w:r>
    </w:p>
    <w:p>
      <w:pPr>
        <w:pStyle w:val="Normal"/>
        <w:ind w:left="318"/>
        <w:rPr>
          <w:rFonts w:ascii="Calibri" w:hAnsi="Calibri" w:cs="Calibri" w:asciiTheme="minorHAnsi" w:cstheme="minorHAnsi" w:hAnsiTheme="minorHAnsi"/>
          <w:iCs/>
          <w:sz w:val="24"/>
          <w:szCs w:val="24"/>
        </w:rPr>
      </w:pPr>
      <w:r>
        <w:rPr>
          <w:rFonts w:cs="Calibri" w:cstheme="minorHAnsi" w:ascii="Calibri" w:hAnsi="Calibri"/>
          <w:iCs/>
          <w:sz w:val="24"/>
          <w:szCs w:val="24"/>
        </w:rPr>
      </w:r>
    </w:p>
    <w:p>
      <w:pPr>
        <w:pStyle w:val="BodyText"/>
        <w:spacing w:before="94" w:after="0"/>
        <w:ind w:left="3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Requests for special considerations are approved by </w:t>
      </w:r>
      <w:r>
        <w:rPr>
          <w:rFonts w:cs="Calibri" w:ascii="Calibri" w:hAnsi="Calibri" w:asciiTheme="minorHAnsi" w:cstheme="minorHAnsi" w:hAnsiTheme="minorHAnsi"/>
          <w:color w:val="333333"/>
          <w:sz w:val="24"/>
          <w:szCs w:val="24"/>
          <w:highlight w:val="yellow"/>
        </w:rPr>
        <w:t>Untamed Herbalist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Applications for special</w:t>
      </w:r>
    </w:p>
    <w:p>
      <w:pPr>
        <w:pStyle w:val="BodyText"/>
        <w:spacing w:lineRule="auto" w:line="240"/>
        <w:ind w:left="318" w:right="21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considerations must be made on case-by-case basis and thus separate applications must be made for each learner. Any requests for special considerations will only be approved if they do not;</w:t>
      </w:r>
    </w:p>
    <w:p>
      <w:pPr>
        <w:pStyle w:val="ListParagraph"/>
        <w:numPr>
          <w:ilvl w:val="1"/>
          <w:numId w:val="1"/>
        </w:numPr>
        <w:tabs>
          <w:tab w:val="clear" w:pos="720"/>
          <w:tab w:val="left" w:pos="1038" w:leader="none"/>
          <w:tab w:val="left" w:pos="1039" w:leader="none"/>
        </w:tabs>
        <w:spacing w:lineRule="exact" w:line="268" w:before="6"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Affect the quality and reliability of the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learning</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an unfair advantage to other</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learners</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Influence or compromise the final outcome of the assessment of</w:t>
      </w:r>
      <w:r>
        <w:rPr>
          <w:rFonts w:cs="Calibri" w:ascii="Calibri" w:hAnsi="Calibri" w:asciiTheme="minorHAnsi" w:cstheme="minorHAnsi" w:hAnsiTheme="minorHAnsi"/>
          <w:spacing w:val="25"/>
          <w:sz w:val="24"/>
          <w:szCs w:val="24"/>
        </w:rPr>
        <w:t xml:space="preserve"> </w:t>
      </w:r>
      <w:r>
        <w:rPr>
          <w:rFonts w:cs="Calibri" w:ascii="Calibri" w:hAnsi="Calibri" w:asciiTheme="minorHAnsi" w:cstheme="minorHAnsi" w:hAnsiTheme="minorHAnsi"/>
          <w:sz w:val="24"/>
          <w:szCs w:val="24"/>
        </w:rPr>
        <w:t>learning</w:t>
      </w:r>
    </w:p>
    <w:p>
      <w:pPr>
        <w:pStyle w:val="BodyText"/>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93" w:after="0"/>
        <w:ind w:left="31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Any requests for special considerations must be made to </w:t>
      </w:r>
      <w:r>
        <w:rPr>
          <w:rFonts w:cs="Calibri" w:ascii="Calibri" w:hAnsi="Calibri" w:asciiTheme="minorHAnsi" w:cstheme="minorHAnsi" w:hAnsiTheme="minorHAnsi"/>
          <w:color w:val="333333"/>
          <w:sz w:val="24"/>
          <w:szCs w:val="24"/>
          <w:highlight w:val="yellow"/>
        </w:rPr>
        <w:t>Untamed Herbalist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within 7 days of the</w:t>
      </w:r>
    </w:p>
    <w:p>
      <w:pPr>
        <w:pStyle w:val="BodyText"/>
        <w:spacing w:before="1" w:after="0"/>
        <w:ind w:left="31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event or assessment using the appropriate paperwork.  If you are unsure if a learner requires a</w:t>
      </w:r>
    </w:p>
    <w:p>
      <w:pPr>
        <w:pStyle w:val="BodyText"/>
        <w:spacing w:before="1" w:after="0"/>
        <w:ind w:left="313" w:right="-2"/>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special consideration please speak with </w:t>
      </w:r>
      <w:r>
        <w:rPr>
          <w:rFonts w:cs="Calibri" w:ascii="Calibri" w:hAnsi="Calibri" w:asciiTheme="minorHAnsi" w:cstheme="minorHAnsi" w:hAnsiTheme="minorHAnsi"/>
          <w:color w:val="333333"/>
          <w:sz w:val="24"/>
          <w:szCs w:val="24"/>
          <w:highlight w:val="yellow"/>
        </w:rPr>
        <w:t>Untamed Herbalist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who will provide the relevant guidance.</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94" w:after="0"/>
        <w:ind w:left="313" w:right="21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It is important to note that special consideration will not be granted if / where learner achievement has been acknowledged and certified.</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31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has been approved &amp; authorised by:</w:t>
      </w:r>
    </w:p>
    <w:p>
      <w:pPr>
        <w:pStyle w:val="BodyText"/>
        <w:spacing w:before="8" w:after="0"/>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2" wp14:anchorId="3F46F015">
                <wp:simplePos x="0" y="0"/>
                <wp:positionH relativeFrom="page">
                  <wp:posOffset>774065</wp:posOffset>
                </wp:positionH>
                <wp:positionV relativeFrom="paragraph">
                  <wp:posOffset>83820</wp:posOffset>
                </wp:positionV>
                <wp:extent cx="4073525" cy="1798955"/>
                <wp:effectExtent l="0" t="0" r="0" b="0"/>
                <wp:wrapNone/>
                <wp:docPr id="1" name="Text Box 2"/>
                <a:graphic xmlns:a="http://schemas.openxmlformats.org/drawingml/2006/main">
                  <a:graphicData uri="http://schemas.microsoft.com/office/word/2010/wordprocessingShape">
                    <wps:wsp>
                      <wps:cNvSpPr/>
                      <wps:spPr>
                        <a:xfrm>
                          <a:off x="0" y="0"/>
                          <a:ext cx="4073400" cy="1798920"/>
                        </a:xfrm>
                        <a:prstGeom prst="rect">
                          <a:avLst/>
                        </a:prstGeom>
                        <a:noFill/>
                        <a:ln w="0">
                          <a:noFill/>
                        </a:ln>
                      </wps:spPr>
                      <wps:style>
                        <a:lnRef idx="0"/>
                        <a:fillRef idx="0"/>
                        <a:effectRef idx="0"/>
                        <a:fontRef idx="minor"/>
                      </wps:style>
                      <wps:txbx>
                        <w:txbxContent>
                          <w:tbl>
                            <w:tblPr>
                              <w:tblW w:w="607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71"/>
                            </w:tblGrid>
                            <w:tr>
                              <w:trPr>
                                <w:trHeight w:val="381" w:hRule="atLeast"/>
                              </w:trPr>
                              <w:tc>
                                <w:tcPr>
                                  <w:tcW w:w="6071" w:type="dxa"/>
                                  <w:tcBorders/>
                                </w:tcPr>
                                <w:p>
                                  <w:pPr>
                                    <w:pStyle w:val="TableParagraph"/>
                                    <w:spacing w:lineRule="exact" w:line="247"/>
                                    <w:rPr>
                                      <w:b/>
                                    </w:rPr>
                                  </w:pPr>
                                  <w:r>
                                    <w:rPr>
                                      <w:b/>
                                    </w:rPr>
                                    <w:t xml:space="preserve">Name: </w:t>
                                  </w:r>
                                  <w:r>
                                    <w:rPr>
                                      <w:b/>
                                      <w:highlight w:val="yellow"/>
                                    </w:rPr>
                                    <w:t>Don E. Holmes III</w:t>
                                  </w:r>
                                </w:p>
                              </w:tc>
                            </w:tr>
                            <w:tr>
                              <w:trPr>
                                <w:trHeight w:val="501" w:hRule="atLeast"/>
                              </w:trPr>
                              <w:tc>
                                <w:tcPr>
                                  <w:tcW w:w="6071" w:type="dxa"/>
                                  <w:tcBorders/>
                                </w:tcPr>
                                <w:p>
                                  <w:pPr>
                                    <w:pStyle w:val="TableParagraph"/>
                                    <w:spacing w:before="134" w:after="0"/>
                                    <w:rPr>
                                      <w:b/>
                                    </w:rPr>
                                  </w:pPr>
                                  <w:r>
                                    <w:rPr>
                                      <w:b/>
                                    </w:rPr>
                                    <w:t xml:space="preserve">Position: </w:t>
                                  </w:r>
                                  <w:r>
                                    <w:rPr>
                                      <w:b/>
                                      <w:highlight w:val="yellow"/>
                                    </w:rPr>
                                    <w:t>Owner/Founder</w:t>
                                  </w:r>
                                </w:p>
                              </w:tc>
                            </w:tr>
                            <w:tr>
                              <w:trPr>
                                <w:trHeight w:val="501" w:hRule="atLeast"/>
                              </w:trPr>
                              <w:tc>
                                <w:tcPr>
                                  <w:tcW w:w="6071" w:type="dxa"/>
                                  <w:tcBorders/>
                                </w:tcPr>
                                <w:p>
                                  <w:pPr>
                                    <w:pStyle w:val="TableParagraph"/>
                                    <w:spacing w:before="125" w:after="0"/>
                                    <w:rPr>
                                      <w:b/>
                                    </w:rPr>
                                  </w:pPr>
                                  <w:r>
                                    <w:rPr>
                                      <w:b/>
                                    </w:rPr>
                                    <w:t xml:space="preserve">Date: </w:t>
                                  </w:r>
                                  <w:r>
                                    <w:rPr>
                                      <w:b/>
                                      <w:highlight w:val="yellow"/>
                                    </w:rPr>
                                    <w:t>07/15/2024</w:t>
                                  </w:r>
                                </w:p>
                              </w:tc>
                            </w:tr>
                            <w:tr>
                              <w:trPr>
                                <w:trHeight w:val="762" w:hRule="atLeast"/>
                              </w:trPr>
                              <w:tc>
                                <w:tcPr>
                                  <w:tcW w:w="6071" w:type="dxa"/>
                                  <w:tcBorders/>
                                </w:tcPr>
                                <w:p>
                                  <w:pPr>
                                    <w:pStyle w:val="TableParagraph"/>
                                    <w:spacing w:before="134" w:after="0"/>
                                    <w:rPr>
                                      <w:b/>
                                    </w:rPr>
                                  </w:pPr>
                                  <w:r>
                                    <w:rPr>
                                      <w:b/>
                                    </w:rPr>
                                    <w:t xml:space="preserve">Signature: </w:t>
                                  </w:r>
                                  <w:r>
                                    <w:rPr>
                                      <w:b/>
                                    </w:rPr>
                                    <w:t>D</w:t>
                                  </w:r>
                                  <w:r>
                                    <w:rPr>
                                      <w:b/>
                                      <w:highlight w:val="yellow"/>
                                    </w:rPr>
                                    <w:t>on E. Holmes III</w:t>
                                  </w:r>
                                </w:p>
                              </w:tc>
                            </w:tr>
                            <w:tr>
                              <w:trPr>
                                <w:trHeight w:val="622" w:hRule="atLeast"/>
                              </w:trPr>
                              <w:tc>
                                <w:tcPr>
                                  <w:tcW w:w="6071" w:type="dxa"/>
                                  <w:tcBorders/>
                                </w:tcPr>
                                <w:p>
                                  <w:pPr>
                                    <w:pStyle w:val="TableParagraph"/>
                                    <w:ind w:left="0"/>
                                    <w:rPr>
                                      <w:sz w:val="33"/>
                                    </w:rPr>
                                  </w:pPr>
                                  <w:r>
                                    <w:rPr>
                                      <w:sz w:val="33"/>
                                    </w:rPr>
                                  </w:r>
                                </w:p>
                                <w:p>
                                  <w:pPr>
                                    <w:pStyle w:val="TableParagraph"/>
                                    <w:spacing w:lineRule="exact" w:line="233"/>
                                    <w:rPr>
                                      <w:b/>
                                    </w:rPr>
                                  </w:pPr>
                                  <w:r>
                                    <w:rPr>
                                      <w:b/>
                                    </w:rPr>
                                    <w:t xml:space="preserve">Review of Policy: </w:t>
                                  </w:r>
                                  <w:r>
                                    <w:rPr>
                                      <w:b/>
                                      <w:highlight w:val="yellow"/>
                                    </w:rPr>
                                    <w:t>??</w:t>
                                  </w:r>
                                </w:p>
                              </w:tc>
                            </w:tr>
                          </w:tbl>
                          <w:p>
                            <w:pPr>
                              <w:pStyle w:val="BodyText"/>
                              <w:rPr/>
                            </w:pPr>
                            <w:r>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0.95pt;margin-top:6.6pt;width:320.7pt;height:141.6pt;mso-wrap-style:none;v-text-anchor:middle;mso-position-horizontal-relative:page" wp14:anchorId="3F46F015">
                <v:fill o:detectmouseclick="t" on="false"/>
                <v:stroke color="#3465a4" joinstyle="round" endcap="flat"/>
                <v:textbox>
                  <w:txbxContent>
                    <w:tbl>
                      <w:tblPr>
                        <w:tblW w:w="607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71"/>
                      </w:tblGrid>
                      <w:tr>
                        <w:trPr>
                          <w:trHeight w:val="381" w:hRule="atLeast"/>
                        </w:trPr>
                        <w:tc>
                          <w:tcPr>
                            <w:tcW w:w="6071" w:type="dxa"/>
                            <w:tcBorders/>
                          </w:tcPr>
                          <w:p>
                            <w:pPr>
                              <w:pStyle w:val="TableParagraph"/>
                              <w:spacing w:lineRule="exact" w:line="247"/>
                              <w:rPr>
                                <w:b/>
                              </w:rPr>
                            </w:pPr>
                            <w:r>
                              <w:rPr>
                                <w:b/>
                              </w:rPr>
                              <w:t xml:space="preserve">Name: </w:t>
                            </w:r>
                            <w:r>
                              <w:rPr>
                                <w:b/>
                                <w:highlight w:val="yellow"/>
                              </w:rPr>
                              <w:t>Don E. Holmes III</w:t>
                            </w:r>
                          </w:p>
                        </w:tc>
                      </w:tr>
                      <w:tr>
                        <w:trPr>
                          <w:trHeight w:val="501" w:hRule="atLeast"/>
                        </w:trPr>
                        <w:tc>
                          <w:tcPr>
                            <w:tcW w:w="6071" w:type="dxa"/>
                            <w:tcBorders/>
                          </w:tcPr>
                          <w:p>
                            <w:pPr>
                              <w:pStyle w:val="TableParagraph"/>
                              <w:spacing w:before="134" w:after="0"/>
                              <w:rPr>
                                <w:b/>
                              </w:rPr>
                            </w:pPr>
                            <w:r>
                              <w:rPr>
                                <w:b/>
                              </w:rPr>
                              <w:t xml:space="preserve">Position: </w:t>
                            </w:r>
                            <w:r>
                              <w:rPr>
                                <w:b/>
                                <w:highlight w:val="yellow"/>
                              </w:rPr>
                              <w:t>Owner/Founder</w:t>
                            </w:r>
                          </w:p>
                        </w:tc>
                      </w:tr>
                      <w:tr>
                        <w:trPr>
                          <w:trHeight w:val="501" w:hRule="atLeast"/>
                        </w:trPr>
                        <w:tc>
                          <w:tcPr>
                            <w:tcW w:w="6071" w:type="dxa"/>
                            <w:tcBorders/>
                          </w:tcPr>
                          <w:p>
                            <w:pPr>
                              <w:pStyle w:val="TableParagraph"/>
                              <w:spacing w:before="125" w:after="0"/>
                              <w:rPr>
                                <w:b/>
                              </w:rPr>
                            </w:pPr>
                            <w:r>
                              <w:rPr>
                                <w:b/>
                              </w:rPr>
                              <w:t xml:space="preserve">Date: </w:t>
                            </w:r>
                            <w:r>
                              <w:rPr>
                                <w:b/>
                                <w:highlight w:val="yellow"/>
                              </w:rPr>
                              <w:t>07/15/2024</w:t>
                            </w:r>
                          </w:p>
                        </w:tc>
                      </w:tr>
                      <w:tr>
                        <w:trPr>
                          <w:trHeight w:val="762" w:hRule="atLeast"/>
                        </w:trPr>
                        <w:tc>
                          <w:tcPr>
                            <w:tcW w:w="6071" w:type="dxa"/>
                            <w:tcBorders/>
                          </w:tcPr>
                          <w:p>
                            <w:pPr>
                              <w:pStyle w:val="TableParagraph"/>
                              <w:spacing w:before="134" w:after="0"/>
                              <w:rPr>
                                <w:b/>
                              </w:rPr>
                            </w:pPr>
                            <w:r>
                              <w:rPr>
                                <w:b/>
                              </w:rPr>
                              <w:t xml:space="preserve">Signature: </w:t>
                            </w:r>
                            <w:r>
                              <w:rPr>
                                <w:b/>
                              </w:rPr>
                              <w:t>D</w:t>
                            </w:r>
                            <w:r>
                              <w:rPr>
                                <w:b/>
                                <w:highlight w:val="yellow"/>
                              </w:rPr>
                              <w:t>on E. Holmes III</w:t>
                            </w:r>
                          </w:p>
                        </w:tc>
                      </w:tr>
                      <w:tr>
                        <w:trPr>
                          <w:trHeight w:val="622" w:hRule="atLeast"/>
                        </w:trPr>
                        <w:tc>
                          <w:tcPr>
                            <w:tcW w:w="6071" w:type="dxa"/>
                            <w:tcBorders/>
                          </w:tcPr>
                          <w:p>
                            <w:pPr>
                              <w:pStyle w:val="TableParagraph"/>
                              <w:ind w:left="0"/>
                              <w:rPr>
                                <w:sz w:val="33"/>
                              </w:rPr>
                            </w:pPr>
                            <w:r>
                              <w:rPr>
                                <w:sz w:val="33"/>
                              </w:rPr>
                            </w:r>
                          </w:p>
                          <w:p>
                            <w:pPr>
                              <w:pStyle w:val="TableParagraph"/>
                              <w:spacing w:lineRule="exact" w:line="233"/>
                              <w:rPr>
                                <w:b/>
                              </w:rPr>
                            </w:pPr>
                            <w:r>
                              <w:rPr>
                                <w:b/>
                              </w:rPr>
                              <w:t xml:space="preserve">Review of Policy: </w:t>
                            </w:r>
                            <w:r>
                              <w:rPr>
                                <w:b/>
                                <w:highlight w:val="yellow"/>
                              </w:rPr>
                              <w:t>??</w:t>
                            </w:r>
                          </w:p>
                        </w:tc>
                      </w:tr>
                    </w:tbl>
                    <w:p>
                      <w:pPr>
                        <w:pStyle w:val="BodyText"/>
                        <w:rPr/>
                      </w:pPr>
                      <w:r>
                        <w:rPr/>
                      </w:r>
                    </w:p>
                  </w:txbxContent>
                </v:textbox>
                <w10:wrap type="none"/>
              </v:rect>
            </w:pict>
          </mc:Fallback>
        </mc:AlternateContent>
      </w:r>
    </w:p>
    <w:p>
      <w:pPr>
        <w:sectPr>
          <w:type w:val="continuous"/>
          <w:pgSz w:w="11906" w:h="16838"/>
          <w:pgMar w:left="1300" w:right="740" w:gutter="0" w:header="735" w:top="1040" w:footer="0" w:bottom="280"/>
          <w:formProt w:val="false"/>
          <w:textDirection w:val="lrTb"/>
          <w:docGrid w:type="default" w:linePitch="600" w:charSpace="36864"/>
        </w:sectPr>
      </w:pP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564" w:before="93" w:after="0"/>
        <w:ind w:right="5913"/>
        <w:rPr>
          <w:rFonts w:ascii="Calibri" w:hAnsi="Calibri" w:cs="Calibri" w:asciiTheme="minorHAnsi" w:cstheme="minorHAnsi" w:hAnsiTheme="minorHAnsi"/>
          <w:sz w:val="24"/>
          <w:szCs w:val="24"/>
        </w:rPr>
      </w:pPr>
      <w:r>
        <w:rPr>
          <w:rFonts w:cs="Calibri" w:cstheme="minorHAnsi" w:ascii="Calibri" w:hAnsi="Calibri"/>
          <w:sz w:val="24"/>
          <w:szCs w:val="24"/>
        </w:rPr>
      </w:r>
    </w:p>
    <w:sectPr>
      <w:type w:val="continuous"/>
      <w:pgSz w:w="11906" w:h="16838"/>
      <w:pgMar w:left="1300" w:right="740" w:gutter="0" w:header="735" w:top="1040" w:footer="0" w:bottom="280"/>
      <w:cols w:num="2" w:equalWidth="false" w:sep="false">
        <w:col w:w="3196" w:space="40"/>
        <w:col w:w="6629"/>
      </w:cols>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38" w:hanging="360"/>
      </w:pPr>
      <w:rPr>
        <w:rFonts w:ascii="Symbol" w:hAnsi="Symbol" w:cs="Symbol" w:hint="default"/>
        <w:sz w:val="22"/>
        <w:szCs w:val="22"/>
        <w:w w:val="100"/>
      </w:rPr>
    </w:lvl>
    <w:lvl w:ilvl="1">
      <w:start w:val="0"/>
      <w:numFmt w:val="bullet"/>
      <w:lvlText w:val=""/>
      <w:lvlJc w:val="left"/>
      <w:pPr>
        <w:tabs>
          <w:tab w:val="num" w:pos="0"/>
        </w:tabs>
        <w:ind w:left="1038" w:hanging="360"/>
      </w:pPr>
      <w:rPr>
        <w:rFonts w:ascii="Symbol" w:hAnsi="Symbol" w:cs="Symbol" w:hint="default"/>
        <w:sz w:val="22"/>
        <w:szCs w:val="22"/>
        <w:w w:val="100"/>
      </w:rPr>
    </w:lvl>
    <w:lvl w:ilvl="2">
      <w:start w:val="0"/>
      <w:numFmt w:val="bullet"/>
      <w:lvlText w:val=""/>
      <w:lvlJc w:val="left"/>
      <w:pPr>
        <w:tabs>
          <w:tab w:val="num" w:pos="0"/>
        </w:tabs>
        <w:ind w:left="2018" w:hanging="360"/>
      </w:pPr>
      <w:rPr>
        <w:rFonts w:ascii="Symbol" w:hAnsi="Symbol" w:cs="Symbol" w:hint="default"/>
      </w:rPr>
    </w:lvl>
    <w:lvl w:ilvl="3">
      <w:start w:val="0"/>
      <w:numFmt w:val="bullet"/>
      <w:lvlText w:val=""/>
      <w:lvlJc w:val="left"/>
      <w:pPr>
        <w:tabs>
          <w:tab w:val="num" w:pos="0"/>
        </w:tabs>
        <w:ind w:left="2996" w:hanging="360"/>
      </w:pPr>
      <w:rPr>
        <w:rFonts w:ascii="Symbol" w:hAnsi="Symbol" w:cs="Symbol" w:hint="default"/>
      </w:rPr>
    </w:lvl>
    <w:lvl w:ilvl="4">
      <w:start w:val="0"/>
      <w:numFmt w:val="bullet"/>
      <w:lvlText w:val=""/>
      <w:lvlJc w:val="left"/>
      <w:pPr>
        <w:tabs>
          <w:tab w:val="num" w:pos="0"/>
        </w:tabs>
        <w:ind w:left="3975" w:hanging="360"/>
      </w:pPr>
      <w:rPr>
        <w:rFonts w:ascii="Symbol" w:hAnsi="Symbol" w:cs="Symbol" w:hint="default"/>
      </w:rPr>
    </w:lvl>
    <w:lvl w:ilvl="5">
      <w:start w:val="0"/>
      <w:numFmt w:val="bullet"/>
      <w:lvlText w:val=""/>
      <w:lvlJc w:val="left"/>
      <w:pPr>
        <w:tabs>
          <w:tab w:val="num" w:pos="0"/>
        </w:tabs>
        <w:ind w:left="4953" w:hanging="360"/>
      </w:pPr>
      <w:rPr>
        <w:rFonts w:ascii="Symbol" w:hAnsi="Symbol" w:cs="Symbol" w:hint="default"/>
      </w:rPr>
    </w:lvl>
    <w:lvl w:ilvl="6">
      <w:start w:val="0"/>
      <w:numFmt w:val="bullet"/>
      <w:lvlText w:val=""/>
      <w:lvlJc w:val="left"/>
      <w:pPr>
        <w:tabs>
          <w:tab w:val="num" w:pos="0"/>
        </w:tabs>
        <w:ind w:left="5932" w:hanging="360"/>
      </w:pPr>
      <w:rPr>
        <w:rFonts w:ascii="Symbol" w:hAnsi="Symbol" w:cs="Symbol" w:hint="default"/>
      </w:rPr>
    </w:lvl>
    <w:lvl w:ilvl="7">
      <w:start w:val="0"/>
      <w:numFmt w:val="bullet"/>
      <w:lvlText w:val=""/>
      <w:lvlJc w:val="left"/>
      <w:pPr>
        <w:tabs>
          <w:tab w:val="num" w:pos="0"/>
        </w:tabs>
        <w:ind w:left="6910" w:hanging="360"/>
      </w:pPr>
      <w:rPr>
        <w:rFonts w:ascii="Symbol" w:hAnsi="Symbol" w:cs="Symbol" w:hint="default"/>
      </w:rPr>
    </w:lvl>
    <w:lvl w:ilvl="8">
      <w:start w:val="0"/>
      <w:numFmt w:val="bullet"/>
      <w:lvlText w:val=""/>
      <w:lvlJc w:val="left"/>
      <w:pPr>
        <w:tabs>
          <w:tab w:val="num" w:pos="0"/>
        </w:tabs>
        <w:ind w:left="7889" w:hanging="36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uiPriority w:val="1"/>
    <w:qFormat/>
    <w:pPr>
      <w:spacing w:before="94" w:after="0"/>
      <w:ind w:left="118"/>
      <w:outlineLvl w:val="0"/>
    </w:pPr>
    <w:rPr>
      <w:b/>
      <w:bCs/>
    </w:rPr>
  </w:style>
  <w:style w:type="paragraph" w:styleId="Heading2">
    <w:name w:val="Heading 2"/>
    <w:basedOn w:val="Normal"/>
    <w:uiPriority w:val="1"/>
    <w:qFormat/>
    <w:pPr>
      <w:ind w:left="546"/>
      <w:outlineLvl w:val="1"/>
    </w:pPr>
    <w:rPr>
      <w:b/>
      <w:bCs/>
      <w:i/>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7685c"/>
    <w:rPr>
      <w:rFonts w:ascii="Arial" w:hAnsi="Arial" w:eastAsia="Arial" w:cs="Arial"/>
    </w:rPr>
  </w:style>
  <w:style w:type="character" w:styleId="FooterChar" w:customStyle="1">
    <w:name w:val="Footer Char"/>
    <w:basedOn w:val="DefaultParagraphFont"/>
    <w:link w:val="Footer"/>
    <w:uiPriority w:val="99"/>
    <w:qFormat/>
    <w:rsid w:val="00b7685c"/>
    <w:rPr>
      <w:rFonts w:ascii="Arial" w:hAnsi="Arial" w:eastAsia="Arial" w:cs="Aria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pPr>
      <w:spacing w:lineRule="exact" w:line="269"/>
      <w:ind w:hanging="360" w:left="838"/>
    </w:pPr>
    <w:rPr/>
  </w:style>
  <w:style w:type="paragraph" w:styleId="TableParagraph" w:customStyle="1">
    <w:name w:val="Table Paragraph"/>
    <w:basedOn w:val="Normal"/>
    <w:uiPriority w:val="1"/>
    <w:qFormat/>
    <w:pPr>
      <w:ind w:left="200"/>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b7685c"/>
    <w:pPr>
      <w:tabs>
        <w:tab w:val="clear" w:pos="720"/>
        <w:tab w:val="center" w:pos="4513" w:leader="none"/>
        <w:tab w:val="right" w:pos="9026" w:leader="none"/>
      </w:tabs>
    </w:pPr>
    <w:rPr/>
  </w:style>
  <w:style w:type="paragraph" w:styleId="Footer">
    <w:name w:val="Footer"/>
    <w:basedOn w:val="Normal"/>
    <w:link w:val="FooterChar"/>
    <w:uiPriority w:val="99"/>
    <w:unhideWhenUsed/>
    <w:rsid w:val="00b7685c"/>
    <w:pPr>
      <w:tabs>
        <w:tab w:val="clear" w:pos="720"/>
        <w:tab w:val="center" w:pos="4513" w:leader="none"/>
        <w:tab w:val="right" w:pos="9026"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LibreOffice/24.2.3.2$Windows_X86_64 LibreOffice_project/433d9c2ded56988e8a90e6b2e771ee4e6a5ab2ba</Application>
  <AppVersion>15.0000</AppVersion>
  <Pages>3</Pages>
  <Words>1214</Words>
  <Characters>6628</Characters>
  <CharactersWithSpaces>7749</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2022-12-05T16:07:00Z</dcterms:created>
  <dc:creator/>
  <dc:description/>
  <dc:language>en-US</dc:language>
  <cp:lastModifiedBy/>
  <dcterms:modified xsi:type="dcterms:W3CDTF">2024-07-15T16:45:29Z</dcterms:modified>
  <cp:revision>3</cp:revision>
  <dc:subject/>
  <dc:title>Reasonable adjustment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